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某型站台车机加工序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r>
        <w:rPr>
          <w:rFonts w:hint="eastAsia" w:ascii="仿宋_GB2312" w:hAnsi="宋体" w:eastAsia="仿宋_GB2312" w:cs="仿宋_GB2312"/>
          <w:b/>
          <w:color w:val="auto"/>
          <w:kern w:val="2"/>
          <w:sz w:val="36"/>
          <w:szCs w:val="36"/>
          <w:lang w:val="en-US" w:eastAsia="zh-CN" w:bidi="ar"/>
        </w:rPr>
        <w:t>招标编号：HZWX-20033</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开标时间：2020年7月24日上午9:30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二○二〇年七月十八日</w:t>
      </w:r>
    </w:p>
    <w:p>
      <w:pPr>
        <w:kinsoku w:val="0"/>
        <w:overflowPunct w:val="0"/>
        <w:autoSpaceDE w:val="0"/>
        <w:autoSpaceDN w:val="0"/>
        <w:spacing w:line="560" w:lineRule="exact"/>
        <w:jc w:val="both"/>
        <w:rPr>
          <w:rFonts w:hint="eastAsia" w:ascii="仿宋_GB2312" w:hAnsi="宋体" w:eastAsia="仿宋_GB2312" w:cs="仿宋_GB2312"/>
          <w:color w:val="auto"/>
          <w:sz w:val="32"/>
          <w:szCs w:val="32"/>
          <w:lang w:val="en-US" w:eastAsia="zh-CN"/>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第五部分：主要合同条款………………………………17</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210" w:leftChars="100" w:right="420" w:rightChars="200"/>
        <w:jc w:val="left"/>
        <w:textAlignment w:val="auto"/>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承制的工程编号YJ2020-4  某型站台车机加工序</w:t>
      </w:r>
      <w:r>
        <w:rPr>
          <w:rFonts w:hint="eastAsia" w:ascii="仿宋_GB2312" w:hAnsi="Times New Roman" w:eastAsia="仿宋_GB2312" w:cs="仿宋_GB2312"/>
          <w:color w:val="auto"/>
          <w:kern w:val="2"/>
          <w:sz w:val="28"/>
          <w:szCs w:val="28"/>
          <w:lang w:val="en-US" w:eastAsia="zh-CN" w:bidi="ar"/>
        </w:rPr>
        <w:t>进行公开招标（招标编号HZWX-20033），欢迎贵单位参加投标。</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交货期：</w:t>
      </w:r>
    </w:p>
    <w:p>
      <w:pPr>
        <w:pStyle w:val="3"/>
        <w:widowControl/>
        <w:numPr>
          <w:ilvl w:val="0"/>
          <w:numId w:val="0"/>
        </w:numPr>
        <w:kinsoku w:val="0"/>
        <w:overflowPunct w:val="0"/>
        <w:autoSpaceDE w:val="0"/>
        <w:autoSpaceDN w:val="0"/>
        <w:spacing w:before="0" w:beforeAutospacing="0" w:after="0" w:afterAutospacing="0" w:line="560" w:lineRule="exact"/>
        <w:ind w:leftChars="150"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要求在2020年8月10日前交货</w:t>
      </w:r>
      <w:r>
        <w:rPr>
          <w:rFonts w:hint="eastAsia" w:ascii="仿宋_GB2312" w:hAnsi="仿宋_GB2312" w:eastAsia="仿宋_GB2312" w:cs="仿宋_GB2312"/>
          <w:color w:val="auto"/>
          <w:sz w:val="28"/>
          <w:szCs w:val="28"/>
          <w:lang w:val="en-US" w:eastAsia="zh-CN"/>
        </w:rPr>
        <w:t>（具体以材料到场时间计算，若材料滞后，则交货期顺延）</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投标方报价统一执行13%税率，如中标方为小额纳税人，则结算时将按中标价予以税率折减；</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r>
        <w:rPr>
          <w:rFonts w:hint="eastAsia" w:ascii="仿宋_GB2312" w:hAnsi="宋体" w:eastAsia="仿宋_GB2312" w:cs="仿宋_GB2312"/>
          <w:b/>
          <w:bCs w:val="0"/>
          <w:color w:val="auto"/>
          <w:kern w:val="2"/>
          <w:sz w:val="32"/>
          <w:szCs w:val="32"/>
          <w:lang w:val="en-US" w:eastAsia="zh-CN" w:bidi="ar"/>
        </w:rPr>
        <w:t>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2020年07月18日至07月23日，北京时间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售价：人民币500.00元/份，售后不退；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人：蔡建强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2020年07月24日上午 9:00  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招标单位定于2020年07月24日上午9：30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337" w:firstLineChars="1350"/>
        <w:jc w:val="left"/>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94" w:firstLineChars="1150"/>
        <w:jc w:val="left"/>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技术质量要求</w:t>
      </w:r>
    </w:p>
    <w:p>
      <w:pPr>
        <w:numPr>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一、按照分公司下发的《S12A型站台车图纸》和《S12A型站台车机加卡》等工艺文件执行。</w:t>
      </w:r>
    </w:p>
    <w:p>
      <w:pPr>
        <w:numPr>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加工后的零件不允许有毛刺、尖棱和尖角</w:t>
      </w:r>
      <w:r>
        <w:rPr>
          <w:rFonts w:hint="eastAsia" w:ascii="仿宋_GB2312" w:hAnsi="仿宋_GB2312" w:eastAsia="仿宋_GB2312" w:cs="仿宋_GB2312"/>
          <w:color w:val="auto"/>
          <w:sz w:val="28"/>
          <w:szCs w:val="28"/>
          <w:lang w:eastAsia="zh-CN"/>
        </w:rPr>
        <w:t>；不得有影响产品性能、寿命、和外观的磕碰、划伤和缺陷</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rPr>
        <w:t>图上未注线性尺寸、倒圆半径、倒角高度的极限偏差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表2。</w:t>
      </w:r>
    </w:p>
    <w:p>
      <w:pPr>
        <w:keepNext w:val="0"/>
        <w:keepLines w:val="0"/>
        <w:pageBreakBefore w:val="0"/>
        <w:widowControl w:val="0"/>
        <w:numPr>
          <w:ilvl w:val="0"/>
          <w:numId w:val="0"/>
        </w:numPr>
        <w:kinsoku/>
        <w:wordWrap/>
        <w:overflowPunct/>
        <w:topLinePunct w:val="0"/>
        <w:autoSpaceDE/>
        <w:autoSpaceDN/>
        <w:bidi w:val="0"/>
        <w:adjustRightInd/>
        <w:snapToGrid/>
        <w:ind w:left="2800" w:hanging="2800" w:hangingChars="10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表1 </w:t>
      </w:r>
      <w:r>
        <w:rPr>
          <w:rFonts w:hint="eastAsia" w:ascii="仿宋_GB2312" w:hAnsi="仿宋_GB2312" w:eastAsia="仿宋_GB2312" w:cs="仿宋_GB2312"/>
          <w:color w:val="auto"/>
          <w:sz w:val="24"/>
          <w:szCs w:val="24"/>
          <w:highlight w:val="none"/>
          <w:lang w:eastAsia="zh-CN"/>
        </w:rPr>
        <w:t>线性尺寸的极限偏差数值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37"/>
        <w:gridCol w:w="1237"/>
        <w:gridCol w:w="1237"/>
        <w:gridCol w:w="1237"/>
        <w:gridCol w:w="1237"/>
        <w:gridCol w:w="123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＞0.5～</w:t>
            </w:r>
            <w:r>
              <w:rPr>
                <w:rFonts w:hint="eastAsia" w:ascii="仿宋_GB2312" w:hAnsi="仿宋_GB2312" w:eastAsia="仿宋_GB2312" w:cs="仿宋_GB2312"/>
                <w:color w:val="auto"/>
                <w:spacing w:val="-1"/>
                <w:w w:val="74"/>
                <w:kern w:val="0"/>
                <w:sz w:val="28"/>
                <w:szCs w:val="28"/>
                <w:highlight w:val="none"/>
                <w:lang w:val="en-US" w:eastAsia="zh-CN"/>
              </w:rPr>
              <w:t>6</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＞6～3</w:t>
            </w:r>
            <w:r>
              <w:rPr>
                <w:rFonts w:hint="eastAsia" w:ascii="仿宋_GB2312" w:hAnsi="仿宋_GB2312" w:eastAsia="仿宋_GB2312" w:cs="仿宋_GB2312"/>
                <w:color w:val="auto"/>
                <w:spacing w:val="2"/>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＞30～12</w:t>
            </w:r>
            <w:r>
              <w:rPr>
                <w:rFonts w:hint="eastAsia" w:ascii="仿宋_GB2312" w:hAnsi="仿宋_GB2312" w:eastAsia="仿宋_GB2312" w:cs="仿宋_GB2312"/>
                <w:color w:val="auto"/>
                <w:spacing w:val="-17"/>
                <w:w w:val="74"/>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＞120～40</w:t>
            </w:r>
            <w:r>
              <w:rPr>
                <w:rFonts w:hint="eastAsia" w:ascii="仿宋_GB2312" w:hAnsi="仿宋_GB2312" w:eastAsia="仿宋_GB2312" w:cs="仿宋_GB2312"/>
                <w:color w:val="auto"/>
                <w:spacing w:val="20"/>
                <w:w w:val="71"/>
                <w:kern w:val="0"/>
                <w:sz w:val="28"/>
                <w:szCs w:val="28"/>
                <w:highlight w:val="none"/>
              </w:rPr>
              <w:t>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＞400～1000</w:t>
            </w:r>
          </w:p>
        </w:tc>
        <w:tc>
          <w:tcPr>
            <w:tcW w:w="123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＞1000～200</w:t>
            </w:r>
            <w:r>
              <w:rPr>
                <w:rFonts w:hint="eastAsia" w:ascii="仿宋_GB2312" w:hAnsi="仿宋_GB2312" w:eastAsia="仿宋_GB2312" w:cs="仿宋_GB2312"/>
                <w:color w:val="auto"/>
                <w:spacing w:val="20"/>
                <w:w w:val="59"/>
                <w:kern w:val="0"/>
                <w:sz w:val="28"/>
                <w:szCs w:val="28"/>
                <w:highlight w:val="none"/>
              </w:rPr>
              <w:t>0</w:t>
            </w:r>
          </w:p>
        </w:tc>
        <w:tc>
          <w:tcPr>
            <w:tcW w:w="1241"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＞2000～400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3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1</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3</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0.5</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0.8</w:t>
            </w:r>
          </w:p>
        </w:tc>
        <w:tc>
          <w:tcPr>
            <w:tcW w:w="123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1.2</w:t>
            </w:r>
          </w:p>
        </w:tc>
        <w:tc>
          <w:tcPr>
            <w:tcW w:w="1241"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920" w:firstLineChars="8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表2 </w:t>
      </w:r>
      <w:r>
        <w:rPr>
          <w:rFonts w:hint="eastAsia" w:ascii="仿宋_GB2312" w:hAnsi="仿宋_GB2312" w:eastAsia="仿宋_GB2312" w:cs="仿宋_GB2312"/>
          <w:color w:val="auto"/>
          <w:sz w:val="24"/>
          <w:szCs w:val="24"/>
          <w:highlight w:val="none"/>
          <w:lang w:eastAsia="zh-CN"/>
        </w:rPr>
        <w:t>倒圆半径与倒角高度尺寸的极限偏差数值</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23"/>
                <w:w w:val="74"/>
                <w:kern w:val="0"/>
                <w:sz w:val="28"/>
                <w:szCs w:val="28"/>
                <w:highlight w:val="none"/>
              </w:rPr>
              <w:t>＞0.</w:t>
            </w:r>
            <w:r>
              <w:rPr>
                <w:rFonts w:hint="eastAsia" w:ascii="仿宋_GB2312" w:hAnsi="仿宋_GB2312" w:eastAsia="仿宋_GB2312" w:cs="仿宋_GB2312"/>
                <w:color w:val="auto"/>
                <w:spacing w:val="23"/>
                <w:w w:val="74"/>
                <w:kern w:val="0"/>
                <w:sz w:val="28"/>
                <w:szCs w:val="28"/>
                <w:highlight w:val="none"/>
                <w:lang w:val="en-US" w:eastAsia="zh-CN"/>
              </w:rPr>
              <w:t>5</w:t>
            </w: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1"/>
                <w:w w:val="74"/>
                <w:kern w:val="0"/>
                <w:sz w:val="28"/>
                <w:szCs w:val="28"/>
                <w:highlight w:val="none"/>
                <w:lang w:val="en-US" w:eastAsia="zh-CN"/>
              </w:rPr>
              <w:t>3</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6</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6</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w w:val="71"/>
                <w:kern w:val="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±0.</w:t>
            </w:r>
            <w:r>
              <w:rPr>
                <w:rFonts w:hint="eastAsia" w:ascii="仿宋_GB2312" w:hAnsi="仿宋_GB2312" w:eastAsia="仿宋_GB2312" w:cs="仿宋_GB2312"/>
                <w:color w:val="auto"/>
                <w:w w:val="74"/>
                <w:kern w:val="0"/>
                <w:sz w:val="28"/>
                <w:szCs w:val="28"/>
                <w:highlight w:val="none"/>
                <w:lang w:val="en-US" w:eastAsia="zh-CN"/>
              </w:rPr>
              <w:t>5</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1</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rPr>
              <w:t>±</w:t>
            </w:r>
            <w:r>
              <w:rPr>
                <w:rFonts w:hint="eastAsia" w:ascii="仿宋_GB2312" w:hAnsi="仿宋_GB2312" w:eastAsia="仿宋_GB2312" w:cs="仿宋_GB2312"/>
                <w:color w:val="auto"/>
                <w:w w:val="74"/>
                <w:kern w:val="0"/>
                <w:sz w:val="28"/>
                <w:szCs w:val="28"/>
                <w:highlight w:val="none"/>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图上未标注的直线度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平面度、垂直度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对称度公差</w:t>
      </w:r>
      <w:r>
        <w:rPr>
          <w:rFonts w:hint="eastAsia" w:ascii="仿宋_GB2312" w:hAnsi="仿宋_GB2312" w:eastAsia="仿宋_GB2312" w:cs="仿宋_GB2312"/>
          <w:color w:val="auto"/>
          <w:sz w:val="28"/>
          <w:szCs w:val="28"/>
          <w:lang w:eastAsia="zh-CN"/>
        </w:rPr>
        <w:t>参照下表</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同轴度</w:t>
      </w:r>
      <w:r>
        <w:rPr>
          <w:rFonts w:hint="eastAsia" w:ascii="仿宋_GB2312" w:hAnsi="仿宋_GB2312" w:eastAsia="仿宋_GB2312" w:cs="仿宋_GB2312"/>
          <w:color w:val="auto"/>
          <w:sz w:val="28"/>
          <w:szCs w:val="28"/>
          <w:lang w:val="en-US" w:eastAsia="zh-CN"/>
        </w:rPr>
        <w:t>0.1mm</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960" w:firstLineChars="4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表3 </w:t>
      </w:r>
      <w:r>
        <w:rPr>
          <w:rFonts w:hint="eastAsia" w:ascii="仿宋_GB2312" w:hAnsi="仿宋_GB2312" w:eastAsia="仿宋_GB2312" w:cs="仿宋_GB2312"/>
          <w:color w:val="auto"/>
          <w:sz w:val="24"/>
          <w:szCs w:val="24"/>
          <w:highlight w:val="none"/>
          <w:lang w:eastAsia="zh-CN"/>
        </w:rPr>
        <w:t>直线度和平面度的未注公差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8"/>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w:t>
            </w:r>
            <w:r>
              <w:rPr>
                <w:rFonts w:hint="eastAsia" w:ascii="仿宋_GB2312" w:hAnsi="仿宋_GB2312" w:eastAsia="仿宋_GB2312" w:cs="仿宋_GB2312"/>
                <w:color w:val="auto"/>
                <w:spacing w:val="41"/>
                <w:w w:val="74"/>
                <w:kern w:val="0"/>
                <w:sz w:val="28"/>
                <w:szCs w:val="28"/>
                <w:highlight w:val="none"/>
              </w:rPr>
              <w:t>～3</w:t>
            </w:r>
            <w:r>
              <w:rPr>
                <w:rFonts w:hint="eastAsia" w:ascii="仿宋_GB2312" w:hAnsi="仿宋_GB2312" w:eastAsia="仿宋_GB2312" w:cs="仿宋_GB2312"/>
                <w:color w:val="auto"/>
                <w:spacing w:val="2"/>
                <w:w w:val="74"/>
                <w:kern w:val="0"/>
                <w:sz w:val="28"/>
                <w:szCs w:val="28"/>
                <w:highlight w:val="none"/>
              </w:rPr>
              <w:t>0</w:t>
            </w:r>
          </w:p>
        </w:tc>
        <w:tc>
          <w:tcPr>
            <w:tcW w:w="1398"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spacing w:val="11"/>
                <w:w w:val="74"/>
                <w:kern w:val="0"/>
                <w:sz w:val="28"/>
                <w:szCs w:val="28"/>
                <w:highlight w:val="none"/>
              </w:rPr>
              <w:t>＞30～1</w:t>
            </w:r>
            <w:r>
              <w:rPr>
                <w:rFonts w:hint="eastAsia" w:ascii="仿宋_GB2312" w:hAnsi="仿宋_GB2312" w:eastAsia="仿宋_GB2312" w:cs="仿宋_GB2312"/>
                <w:color w:val="auto"/>
                <w:spacing w:val="11"/>
                <w:w w:val="74"/>
                <w:kern w:val="0"/>
                <w:sz w:val="28"/>
                <w:szCs w:val="28"/>
                <w:highlight w:val="none"/>
                <w:lang w:val="en-US" w:eastAsia="zh-CN"/>
              </w:rPr>
              <w:t>0</w:t>
            </w:r>
            <w:r>
              <w:rPr>
                <w:rFonts w:hint="eastAsia" w:ascii="仿宋_GB2312" w:hAnsi="仿宋_GB2312" w:eastAsia="仿宋_GB2312" w:cs="仿宋_GB2312"/>
                <w:color w:val="auto"/>
                <w:spacing w:val="-17"/>
                <w:w w:val="74"/>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397"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7"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0.05</w:t>
            </w:r>
          </w:p>
        </w:tc>
        <w:tc>
          <w:tcPr>
            <w:tcW w:w="1398"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0.1</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397"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3840" w:firstLineChars="16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表4 </w:t>
      </w:r>
      <w:r>
        <w:rPr>
          <w:rFonts w:hint="eastAsia" w:ascii="仿宋_GB2312" w:hAnsi="仿宋_GB2312" w:eastAsia="仿宋_GB2312" w:cs="仿宋_GB2312"/>
          <w:color w:val="auto"/>
          <w:sz w:val="24"/>
          <w:szCs w:val="24"/>
          <w:highlight w:val="none"/>
          <w:lang w:eastAsia="zh-CN"/>
        </w:rPr>
        <w:t>垂直度未注公差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972"/>
        <w:gridCol w:w="1972"/>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100</w:t>
            </w:r>
            <w:r>
              <w:rPr>
                <w:rFonts w:hint="eastAsia" w:ascii="仿宋_GB2312" w:hAnsi="仿宋_GB2312" w:eastAsia="仿宋_GB2312" w:cs="仿宋_GB2312"/>
                <w:color w:val="auto"/>
                <w:spacing w:val="41"/>
                <w:w w:val="74"/>
                <w:kern w:val="0"/>
                <w:sz w:val="28"/>
                <w:szCs w:val="28"/>
                <w:highlight w:val="none"/>
              </w:rPr>
              <w:t>～</w:t>
            </w:r>
            <w:r>
              <w:rPr>
                <w:rFonts w:hint="eastAsia" w:ascii="仿宋_GB2312" w:hAnsi="仿宋_GB2312" w:eastAsia="仿宋_GB2312" w:cs="仿宋_GB2312"/>
                <w:color w:val="auto"/>
                <w:spacing w:val="41"/>
                <w:w w:val="74"/>
                <w:kern w:val="0"/>
                <w:sz w:val="28"/>
                <w:szCs w:val="28"/>
                <w:highlight w:val="none"/>
                <w:lang w:val="en-US" w:eastAsia="zh-CN"/>
              </w:rPr>
              <w:t>300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p>
        </w:tc>
        <w:tc>
          <w:tcPr>
            <w:tcW w:w="197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1"/>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1000</w:t>
            </w:r>
            <w:r>
              <w:rPr>
                <w:rFonts w:hint="eastAsia" w:ascii="仿宋_GB2312" w:hAnsi="仿宋_GB2312" w:eastAsia="仿宋_GB2312" w:cs="仿宋_GB2312"/>
                <w:color w:val="auto"/>
                <w:spacing w:val="11"/>
                <w:w w:val="74"/>
                <w:kern w:val="0"/>
                <w:sz w:val="28"/>
                <w:szCs w:val="28"/>
                <w:highlight w:val="none"/>
              </w:rPr>
              <w:t>～</w:t>
            </w:r>
            <w:r>
              <w:rPr>
                <w:rFonts w:hint="eastAsia" w:ascii="仿宋_GB2312" w:hAnsi="仿宋_GB2312" w:eastAsia="仿宋_GB2312" w:cs="仿宋_GB2312"/>
                <w:color w:val="auto"/>
                <w:spacing w:val="11"/>
                <w:w w:val="74"/>
                <w:kern w:val="0"/>
                <w:sz w:val="28"/>
                <w:szCs w:val="28"/>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7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0.2</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0.3</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0.4</w:t>
            </w:r>
          </w:p>
        </w:tc>
        <w:tc>
          <w:tcPr>
            <w:tcW w:w="1972" w:type="dxa"/>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kinsoku/>
        <w:wordWrap/>
        <w:overflowPunct/>
        <w:topLinePunct w:val="0"/>
        <w:autoSpaceDE/>
        <w:autoSpaceDN/>
        <w:bidi w:val="0"/>
        <w:adjustRightInd/>
        <w:snapToGrid/>
        <w:ind w:left="2396" w:leftChars="798" w:hanging="720" w:hangingChars="300"/>
        <w:jc w:val="left"/>
        <w:textAlignment w:val="auto"/>
        <w:outlineLvl w:val="9"/>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394" w:leftChars="1140" w:firstLine="1200" w:firstLineChars="5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表5 </w:t>
      </w:r>
      <w:r>
        <w:rPr>
          <w:rFonts w:hint="eastAsia" w:ascii="仿宋_GB2312" w:hAnsi="仿宋_GB2312" w:eastAsia="仿宋_GB2312" w:cs="仿宋_GB2312"/>
          <w:color w:val="auto"/>
          <w:sz w:val="24"/>
          <w:szCs w:val="24"/>
          <w:highlight w:val="none"/>
          <w:lang w:eastAsia="zh-CN"/>
        </w:rPr>
        <w:t>对称度未注公差</w:t>
      </w:r>
      <w:r>
        <w:rPr>
          <w:rFonts w:hint="eastAsia" w:ascii="仿宋_GB2312" w:hAnsi="仿宋_GB2312" w:eastAsia="仿宋_GB2312" w:cs="仿宋_GB2312"/>
          <w:color w:val="auto"/>
          <w:sz w:val="24"/>
          <w:szCs w:val="24"/>
          <w:highlight w:val="none"/>
          <w:lang w:val="en-US" w:eastAsia="zh-CN"/>
        </w:rPr>
        <w:t xml:space="preserve">             单位：mm</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2"/>
        <w:gridCol w:w="1952"/>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尺寸</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spacing w:val="23"/>
                <w:w w:val="74"/>
                <w:kern w:val="0"/>
                <w:sz w:val="28"/>
                <w:szCs w:val="28"/>
                <w:highlight w:val="none"/>
              </w:rPr>
              <w:t>≤</w:t>
            </w:r>
            <w:r>
              <w:rPr>
                <w:rFonts w:hint="eastAsia" w:ascii="仿宋_GB2312" w:hAnsi="仿宋_GB2312" w:eastAsia="仿宋_GB2312" w:cs="仿宋_GB2312"/>
                <w:color w:val="auto"/>
                <w:spacing w:val="23"/>
                <w:w w:val="74"/>
                <w:kern w:val="0"/>
                <w:sz w:val="28"/>
                <w:szCs w:val="28"/>
                <w:highlight w:val="none"/>
                <w:lang w:val="en-US" w:eastAsia="zh-CN"/>
              </w:rPr>
              <w:t>100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1"/>
                <w:kern w:val="0"/>
                <w:sz w:val="28"/>
                <w:szCs w:val="28"/>
                <w:highlight w:val="none"/>
              </w:rPr>
              <w:t>＞1</w:t>
            </w:r>
            <w:r>
              <w:rPr>
                <w:rFonts w:hint="eastAsia" w:ascii="仿宋_GB2312" w:hAnsi="仿宋_GB2312" w:eastAsia="仿宋_GB2312" w:cs="仿宋_GB2312"/>
                <w:color w:val="auto"/>
                <w:w w:val="71"/>
                <w:kern w:val="0"/>
                <w:sz w:val="28"/>
                <w:szCs w:val="28"/>
                <w:highlight w:val="none"/>
                <w:lang w:val="en-US" w:eastAsia="zh-CN"/>
              </w:rPr>
              <w:t>0</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w w:val="71"/>
                <w:kern w:val="0"/>
                <w:sz w:val="28"/>
                <w:szCs w:val="28"/>
                <w:highlight w:val="none"/>
                <w:lang w:val="en-US" w:eastAsia="zh-CN"/>
              </w:rPr>
              <w:t>3</w:t>
            </w:r>
            <w:r>
              <w:rPr>
                <w:rFonts w:hint="eastAsia" w:ascii="仿宋_GB2312" w:hAnsi="仿宋_GB2312" w:eastAsia="仿宋_GB2312" w:cs="仿宋_GB2312"/>
                <w:color w:val="auto"/>
                <w:w w:val="71"/>
                <w:kern w:val="0"/>
                <w:sz w:val="28"/>
                <w:szCs w:val="28"/>
                <w:highlight w:val="none"/>
              </w:rPr>
              <w:t>0</w:t>
            </w:r>
            <w:r>
              <w:rPr>
                <w:rFonts w:hint="eastAsia" w:ascii="仿宋_GB2312" w:hAnsi="仿宋_GB2312" w:eastAsia="仿宋_GB2312" w:cs="仿宋_GB2312"/>
                <w:color w:val="auto"/>
                <w:spacing w:val="20"/>
                <w:w w:val="71"/>
                <w:kern w:val="0"/>
                <w:sz w:val="28"/>
                <w:szCs w:val="28"/>
                <w:highlight w:val="none"/>
              </w:rPr>
              <w:t>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65"/>
                <w:kern w:val="0"/>
                <w:sz w:val="28"/>
                <w:szCs w:val="28"/>
                <w:highlight w:val="none"/>
              </w:rPr>
              <w:t>＞</w:t>
            </w:r>
            <w:r>
              <w:rPr>
                <w:rFonts w:hint="eastAsia" w:ascii="仿宋_GB2312" w:hAnsi="仿宋_GB2312" w:eastAsia="仿宋_GB2312" w:cs="仿宋_GB2312"/>
                <w:color w:val="auto"/>
                <w:w w:val="65"/>
                <w:kern w:val="0"/>
                <w:sz w:val="28"/>
                <w:szCs w:val="28"/>
                <w:highlight w:val="none"/>
                <w:lang w:val="en-US" w:eastAsia="zh-CN"/>
              </w:rPr>
              <w:t>3</w:t>
            </w:r>
            <w:r>
              <w:rPr>
                <w:rFonts w:hint="eastAsia" w:ascii="仿宋_GB2312" w:hAnsi="仿宋_GB2312" w:eastAsia="仿宋_GB2312" w:cs="仿宋_GB2312"/>
                <w:color w:val="auto"/>
                <w:w w:val="65"/>
                <w:kern w:val="0"/>
                <w:sz w:val="28"/>
                <w:szCs w:val="28"/>
                <w:highlight w:val="none"/>
              </w:rPr>
              <w:t>00～1000</w:t>
            </w:r>
          </w:p>
        </w:tc>
        <w:tc>
          <w:tcPr>
            <w:tcW w:w="1952" w:type="dxa"/>
            <w:vAlign w:val="top"/>
          </w:tcPr>
          <w:p>
            <w:pPr>
              <w:spacing w:line="560" w:lineRule="exact"/>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59"/>
                <w:kern w:val="0"/>
                <w:sz w:val="28"/>
                <w:szCs w:val="28"/>
                <w:highlight w:val="none"/>
              </w:rPr>
              <w:t>＞1000～</w:t>
            </w:r>
            <w:r>
              <w:rPr>
                <w:rFonts w:hint="eastAsia" w:ascii="仿宋_GB2312" w:hAnsi="仿宋_GB2312" w:eastAsia="仿宋_GB2312" w:cs="仿宋_GB2312"/>
                <w:color w:val="auto"/>
                <w:w w:val="59"/>
                <w:kern w:val="0"/>
                <w:sz w:val="28"/>
                <w:szCs w:val="28"/>
                <w:highlight w:val="none"/>
                <w:lang w:val="en-US" w:eastAsia="zh-CN"/>
              </w:rPr>
              <w:t>3</w:t>
            </w:r>
            <w:r>
              <w:rPr>
                <w:rFonts w:hint="eastAsia" w:ascii="仿宋_GB2312" w:hAnsi="仿宋_GB2312" w:eastAsia="仿宋_GB2312" w:cs="仿宋_GB2312"/>
                <w:color w:val="auto"/>
                <w:w w:val="59"/>
                <w:kern w:val="0"/>
                <w:sz w:val="28"/>
                <w:szCs w:val="28"/>
                <w:highlight w:val="none"/>
              </w:rPr>
              <w:t>00</w:t>
            </w:r>
            <w:r>
              <w:rPr>
                <w:rFonts w:hint="eastAsia" w:ascii="仿宋_GB2312" w:hAnsi="仿宋_GB2312" w:eastAsia="仿宋_GB2312" w:cs="仿宋_GB2312"/>
                <w:color w:val="auto"/>
                <w:spacing w:val="20"/>
                <w:w w:val="59"/>
                <w:kern w:val="0"/>
                <w:sz w:val="28"/>
                <w:szCs w:val="2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2" w:type="dxa"/>
            <w:vAlign w:val="center"/>
          </w:tcPr>
          <w:p>
            <w:pPr>
              <w:jc w:val="center"/>
              <w:rPr>
                <w:rFonts w:hint="eastAsia" w:ascii="仿宋_GB2312" w:hAnsi="仿宋_GB2312" w:eastAsia="仿宋_GB2312" w:cs="仿宋_GB2312"/>
                <w:color w:val="auto"/>
                <w:w w:val="74"/>
                <w:kern w:val="0"/>
                <w:sz w:val="28"/>
                <w:szCs w:val="28"/>
                <w:highlight w:val="none"/>
              </w:rPr>
            </w:pPr>
            <w:r>
              <w:rPr>
                <w:rFonts w:hint="eastAsia" w:ascii="仿宋_GB2312" w:hAnsi="仿宋_GB2312" w:eastAsia="仿宋_GB2312" w:cs="仿宋_GB2312"/>
                <w:color w:val="auto"/>
                <w:w w:val="74"/>
                <w:kern w:val="0"/>
                <w:sz w:val="28"/>
                <w:szCs w:val="28"/>
                <w:highlight w:val="none"/>
              </w:rPr>
              <w:t>公差要求</w:t>
            </w:r>
          </w:p>
        </w:tc>
        <w:tc>
          <w:tcPr>
            <w:tcW w:w="7808" w:type="dxa"/>
            <w:gridSpan w:val="4"/>
            <w:vAlign w:val="center"/>
          </w:tcPr>
          <w:p>
            <w:pPr>
              <w:jc w:val="center"/>
              <w:rPr>
                <w:rFonts w:hint="eastAsia" w:ascii="仿宋_GB2312" w:hAnsi="仿宋_GB2312" w:eastAsia="仿宋_GB2312" w:cs="仿宋_GB2312"/>
                <w:color w:val="auto"/>
                <w:w w:val="74"/>
                <w:kern w:val="0"/>
                <w:sz w:val="28"/>
                <w:szCs w:val="28"/>
                <w:highlight w:val="none"/>
                <w:lang w:val="en-US" w:eastAsia="zh-CN"/>
              </w:rPr>
            </w:pPr>
            <w:r>
              <w:rPr>
                <w:rFonts w:hint="eastAsia" w:ascii="仿宋_GB2312" w:hAnsi="仿宋_GB2312" w:eastAsia="仿宋_GB2312" w:cs="仿宋_GB2312"/>
                <w:color w:val="auto"/>
                <w:w w:val="74"/>
                <w:kern w:val="0"/>
                <w:sz w:val="28"/>
                <w:szCs w:val="28"/>
                <w:highlight w:val="none"/>
                <w:lang w:val="en-US" w:eastAsia="zh-CN"/>
              </w:rPr>
              <w:t>0.5</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图上未标注的表面粗糙度：螺纹通孔、长孔和麻花钻或尖头钻加工的孔Ra≤6.3µm；退刀槽、润滑槽、螺纹、螺纹退刀槽、楔键和平键槽的Ra≤3.2µm；内倒圆（倒角）与它相连的精表面相同，外倒圆（倒角）与它相连的粗表面相同。</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2.执行《S12A型站台车项目检验计划》或质量管理要求。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证措施。产品首件生产完成后，需经首检合格,方可进行后续产品的生产。整个过程需接受甲方质量检验部门和驻厂军代表的监控，积极配合甲方检验人员的检查、验收，负责提供自主质量管理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left"/>
        <w:rPr>
          <w:rFonts w:hint="eastAsia" w:ascii="仿宋_GB2312" w:hAnsi="宋体" w:eastAsia="仿宋_GB2312" w:cs="仿宋_GB2312"/>
          <w:b/>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left"/>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招标编号：HZWX-20033</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我们收到贵方提供的YJ2020-4 某型站台车机加工序外协</w:t>
      </w:r>
      <w:r>
        <w:rPr>
          <w:rFonts w:hint="eastAsia" w:ascii="仿宋_GB2312" w:hAnsi="宋体" w:eastAsia="仿宋_GB2312" w:cs="仿宋_GB2312"/>
          <w:b w:val="0"/>
          <w:bCs w:val="0"/>
          <w:color w:val="auto"/>
          <w:kern w:val="2"/>
          <w:sz w:val="28"/>
          <w:szCs w:val="28"/>
          <w:lang w:val="en-US" w:eastAsia="zh-CN" w:bidi="ar"/>
        </w:rPr>
        <w:t>（招标编号：HZWX-20033）招标文件，经研究我单位自愿参加投标并授权（姓名）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630" w:right="0" w:hanging="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40" w:firstLineChars="20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我公司此次招标（招标编号:HZWX- 20033  ）缴纳投标保证金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1.承认并愿意按照招标文件的各项规定和要求进行YJ2020-4 某型站台车机加工序外协的招标工作</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eastAsia="仿宋_GB2312" w:cs="仿宋_GB2312"/>
          <w:color w:val="auto"/>
          <w:sz w:val="28"/>
          <w:szCs w:val="28"/>
          <w:lang w:val="en-US" w:eastAsia="zh-CN"/>
        </w:rPr>
        <w:t>YJ2020-4</w:t>
      </w:r>
      <w:r>
        <w:rPr>
          <w:rFonts w:hint="eastAsia" w:ascii="仿宋_GB2312" w:hAnsi="宋体" w:eastAsia="仿宋_GB2312" w:cs="仿宋_GB2312"/>
          <w:color w:val="auto"/>
          <w:kern w:val="2"/>
          <w:sz w:val="28"/>
          <w:szCs w:val="28"/>
          <w:lang w:val="en-US" w:eastAsia="zh-CN" w:bidi="ar"/>
        </w:rPr>
        <w:t xml:space="preserve"> 某型站台车机械加工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eastAsia="zh-CN"/>
        </w:rPr>
        <w:t>3.</w:t>
      </w: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4.理解你们不以最低价格作为中标的唯一选择标准。</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5.经评选如果我们中标，我们将按照中标通知的时间和地点签订某型模块化桥机械加工协作合同，并按质、按量、按期完成各项工作。</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6.能够提供招标文件中要求的所有资料。</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合同主要条款</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（4）负责与乙方按招标价签订合同并按合同办理结算。</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积极配合甲方检验人员和军代表的检查、验收，负责提供自主质量管理表格和自检数据表格，未经检验合格的产品、零部件不得转入下道工序，违者接受需方相关规定的处罚；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HZWX-20033投标答疑</w:t>
      </w:r>
    </w:p>
    <w:p>
      <w:pPr>
        <w:numPr>
          <w:ilvl w:val="0"/>
          <w:numId w:val="3"/>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3"/>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3"/>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3"/>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3"/>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扭力座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S12A-130-210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 xml:space="preserve">划 刨 钻 </w:t>
            </w:r>
            <w:r>
              <w:rPr>
                <w:rFonts w:hint="eastAsia" w:ascii="宋体" w:hAnsi="宋体" w:cs="宋体"/>
                <w:i w:val="0"/>
                <w:color w:val="auto"/>
                <w:kern w:val="0"/>
                <w:sz w:val="24"/>
                <w:szCs w:val="24"/>
                <w:u w:val="none"/>
                <w:lang w:val="en-US" w:eastAsia="zh-CN" w:bidi="ar"/>
              </w:rPr>
              <w:t>镗 拉 钳</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cs="宋体"/>
                <w:i w:val="0"/>
                <w:color w:val="auto"/>
                <w:sz w:val="24"/>
                <w:szCs w:val="24"/>
                <w:u w:val="none"/>
                <w:lang w:val="en-US" w:eastAsia="zh-CN"/>
              </w:rPr>
              <w:t>160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eastAsia="zh-CN"/>
              </w:rPr>
              <w:t>扭力座</w:t>
            </w:r>
            <w:r>
              <w:rPr>
                <w:rFonts w:hint="eastAsia" w:ascii="宋体" w:hAnsi="宋体" w:cs="宋体"/>
                <w:i w:val="0"/>
                <w:color w:val="auto"/>
                <w:sz w:val="24"/>
                <w:szCs w:val="24"/>
                <w:u w:val="none"/>
                <w:lang w:val="en-US" w:eastAsia="zh-CN"/>
              </w:rPr>
              <w:t>2</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S12A-130-220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划 刨 钻 </w:t>
            </w:r>
            <w:r>
              <w:rPr>
                <w:rFonts w:hint="eastAsia" w:ascii="宋体" w:hAnsi="宋体" w:cs="宋体"/>
                <w:i w:val="0"/>
                <w:color w:val="auto"/>
                <w:kern w:val="0"/>
                <w:sz w:val="24"/>
                <w:szCs w:val="24"/>
                <w:u w:val="none"/>
                <w:lang w:val="en-US" w:eastAsia="zh-CN" w:bidi="ar"/>
              </w:rPr>
              <w:t>镗 拉 钳</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cs="宋体"/>
                <w:i w:val="0"/>
                <w:color w:val="auto"/>
                <w:sz w:val="24"/>
                <w:szCs w:val="24"/>
                <w:u w:val="none"/>
                <w:lang w:val="en-US" w:eastAsia="zh-CN"/>
              </w:rPr>
              <w:t>320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扭力套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S12A-130-211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车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color w:val="auto"/>
              </w:rPr>
            </w:pPr>
            <w:r>
              <w:rPr>
                <w:rFonts w:hint="eastAsia" w:ascii="宋体" w:hAnsi="宋体" w:cs="宋体"/>
                <w:i w:val="0"/>
                <w:color w:val="auto"/>
                <w:sz w:val="24"/>
                <w:szCs w:val="24"/>
                <w:u w:val="none"/>
                <w:lang w:val="en-US" w:eastAsia="zh-CN"/>
              </w:rPr>
              <w:t>480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扭力套</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S12A-130-204</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车</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 xml:space="preserve"> </w:t>
            </w:r>
            <w:r>
              <w:rPr>
                <w:rFonts w:hint="eastAsia" w:ascii="宋体" w:hAnsi="宋体" w:cs="宋体"/>
                <w:i w:val="0"/>
                <w:color w:val="auto"/>
                <w:kern w:val="0"/>
                <w:sz w:val="24"/>
                <w:szCs w:val="24"/>
                <w:u w:val="none"/>
                <w:lang w:val="en-US" w:eastAsia="zh-CN" w:bidi="ar"/>
              </w:rPr>
              <w:t>拉花</w:t>
            </w:r>
            <w:r>
              <w:rPr>
                <w:rFonts w:hint="eastAsia" w:ascii="宋体" w:hAnsi="宋体" w:eastAsia="宋体" w:cs="宋体"/>
                <w:i w:val="0"/>
                <w:color w:val="auto"/>
                <w:kern w:val="0"/>
                <w:sz w:val="24"/>
                <w:szCs w:val="24"/>
                <w:u w:val="none"/>
                <w:lang w:val="en-US" w:eastAsia="zh-CN" w:bidi="ar"/>
              </w:rPr>
              <w:t xml:space="preserve"> </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eastAsia="宋体"/>
                <w:color w:val="auto"/>
                <w:lang w:val="en-US" w:eastAsia="zh-CN"/>
              </w:rPr>
            </w:pPr>
            <w:r>
              <w:rPr>
                <w:rFonts w:hint="eastAsia"/>
                <w:color w:val="auto"/>
                <w:sz w:val="24"/>
                <w:szCs w:val="24"/>
                <w:lang w:val="en-US" w:eastAsia="zh-CN"/>
              </w:rPr>
              <w:t>480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扭力杆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S12A-140-101</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车、铣、插</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160</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kern w:val="0"/>
                <w:sz w:val="24"/>
                <w:szCs w:val="24"/>
                <w:u w:val="none"/>
                <w:lang w:val="en-US" w:eastAsia="zh-CN" w:bidi="ar"/>
              </w:rPr>
              <w:t>扭力杆</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S12A-130-203</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车、铣、插</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lang w:val="en-US" w:eastAsia="zh-CN"/>
              </w:rPr>
            </w:pPr>
            <w:r>
              <w:rPr>
                <w:rFonts w:hint="eastAsia"/>
                <w:color w:val="auto"/>
                <w:sz w:val="24"/>
                <w:szCs w:val="24"/>
                <w:lang w:val="en-US" w:eastAsia="zh-CN"/>
              </w:rPr>
              <w:t>320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销子</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S12A-130-205</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划、车、钻、拉花</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4"/>
                <w:szCs w:val="24"/>
                <w:lang w:val="en-US" w:eastAsia="zh-CN"/>
              </w:rPr>
            </w:pPr>
            <w:r>
              <w:rPr>
                <w:rFonts w:hint="eastAsia"/>
                <w:color w:val="auto"/>
                <w:sz w:val="24"/>
                <w:szCs w:val="24"/>
                <w:lang w:val="en-US" w:eastAsia="zh-CN"/>
              </w:rPr>
              <w:t>160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销子</w:t>
            </w:r>
            <w:r>
              <w:rPr>
                <w:rFonts w:hint="eastAsia" w:ascii="宋体" w:hAnsi="宋体" w:cs="宋体"/>
                <w:i w:val="0"/>
                <w:color w:val="auto"/>
                <w:sz w:val="24"/>
                <w:szCs w:val="24"/>
                <w:u w:val="none"/>
                <w:lang w:val="en-US" w:eastAsia="zh-CN"/>
              </w:rPr>
              <w:t>2</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S12A-130-207</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划、车、钻、拉花</w:t>
            </w: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4"/>
                <w:szCs w:val="24"/>
                <w:lang w:val="en-US" w:eastAsia="zh-CN"/>
              </w:rPr>
            </w:pPr>
            <w:r>
              <w:rPr>
                <w:rFonts w:hint="eastAsia"/>
                <w:color w:val="auto"/>
                <w:sz w:val="24"/>
                <w:szCs w:val="24"/>
                <w:lang w:val="en-US" w:eastAsia="zh-CN"/>
              </w:rPr>
              <w:t>320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8月10日完工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bookmarkStart w:id="0" w:name="_GoBack"/>
      <w:bookmarkEnd w:id="0"/>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B7C41AD0"/>
    <w:multiLevelType w:val="singleLevel"/>
    <w:tmpl w:val="B7C41AD0"/>
    <w:lvl w:ilvl="0" w:tentative="0">
      <w:start w:val="1"/>
      <w:numFmt w:val="decimal"/>
      <w:lvlText w:val="%1."/>
      <w:lvlJc w:val="left"/>
      <w:pPr>
        <w:tabs>
          <w:tab w:val="left" w:pos="312"/>
        </w:tabs>
      </w:pPr>
    </w:lvl>
  </w:abstractNum>
  <w:abstractNum w:abstractNumId="2">
    <w:nsid w:val="7CD3D83D"/>
    <w:multiLevelType w:val="singleLevel"/>
    <w:tmpl w:val="7CD3D83D"/>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6425B3"/>
    <w:rsid w:val="02277B08"/>
    <w:rsid w:val="02310EDB"/>
    <w:rsid w:val="03A23827"/>
    <w:rsid w:val="03B30A1E"/>
    <w:rsid w:val="03FE48BD"/>
    <w:rsid w:val="04595D69"/>
    <w:rsid w:val="048A5001"/>
    <w:rsid w:val="04CC498C"/>
    <w:rsid w:val="04DF7D05"/>
    <w:rsid w:val="06406C06"/>
    <w:rsid w:val="07E70EC1"/>
    <w:rsid w:val="087F3235"/>
    <w:rsid w:val="0B6E66A0"/>
    <w:rsid w:val="0BA76587"/>
    <w:rsid w:val="0BC94D41"/>
    <w:rsid w:val="0D144D1A"/>
    <w:rsid w:val="0D267491"/>
    <w:rsid w:val="0F5D0DBB"/>
    <w:rsid w:val="0FB72370"/>
    <w:rsid w:val="12C8203D"/>
    <w:rsid w:val="141A6752"/>
    <w:rsid w:val="149C57FA"/>
    <w:rsid w:val="152D0DD9"/>
    <w:rsid w:val="172427EB"/>
    <w:rsid w:val="174E276D"/>
    <w:rsid w:val="175C1966"/>
    <w:rsid w:val="17FF0050"/>
    <w:rsid w:val="1E20526B"/>
    <w:rsid w:val="21490BBB"/>
    <w:rsid w:val="21C5418F"/>
    <w:rsid w:val="23B06715"/>
    <w:rsid w:val="23E922F9"/>
    <w:rsid w:val="24567247"/>
    <w:rsid w:val="25782368"/>
    <w:rsid w:val="257974D3"/>
    <w:rsid w:val="258145C2"/>
    <w:rsid w:val="26666D16"/>
    <w:rsid w:val="2816358D"/>
    <w:rsid w:val="28EB3A3A"/>
    <w:rsid w:val="29232281"/>
    <w:rsid w:val="295B7ACC"/>
    <w:rsid w:val="2B1C63E8"/>
    <w:rsid w:val="2B8E7259"/>
    <w:rsid w:val="2C3F14E8"/>
    <w:rsid w:val="2C5F1CDA"/>
    <w:rsid w:val="2DEA302C"/>
    <w:rsid w:val="2EA83F40"/>
    <w:rsid w:val="2F9A12CA"/>
    <w:rsid w:val="357F5802"/>
    <w:rsid w:val="391B0377"/>
    <w:rsid w:val="3B2E6786"/>
    <w:rsid w:val="3B35351E"/>
    <w:rsid w:val="3CF3204E"/>
    <w:rsid w:val="3D944674"/>
    <w:rsid w:val="3FDB3998"/>
    <w:rsid w:val="41140563"/>
    <w:rsid w:val="4302483C"/>
    <w:rsid w:val="44FA59A2"/>
    <w:rsid w:val="450232C6"/>
    <w:rsid w:val="451E567A"/>
    <w:rsid w:val="465C77F5"/>
    <w:rsid w:val="4799326D"/>
    <w:rsid w:val="47C61477"/>
    <w:rsid w:val="484236D1"/>
    <w:rsid w:val="4B3D2387"/>
    <w:rsid w:val="4CB31D8F"/>
    <w:rsid w:val="50F67D10"/>
    <w:rsid w:val="51415237"/>
    <w:rsid w:val="51EF3AAB"/>
    <w:rsid w:val="528120E5"/>
    <w:rsid w:val="53550AB7"/>
    <w:rsid w:val="558048E6"/>
    <w:rsid w:val="55D9173D"/>
    <w:rsid w:val="56AA063F"/>
    <w:rsid w:val="579575FD"/>
    <w:rsid w:val="57AD3AF2"/>
    <w:rsid w:val="57DF3DC0"/>
    <w:rsid w:val="58147C13"/>
    <w:rsid w:val="5906213F"/>
    <w:rsid w:val="59E66B0D"/>
    <w:rsid w:val="59FD70A7"/>
    <w:rsid w:val="5B8F32A9"/>
    <w:rsid w:val="5DE81847"/>
    <w:rsid w:val="5EBA4943"/>
    <w:rsid w:val="60655410"/>
    <w:rsid w:val="6147417F"/>
    <w:rsid w:val="633F7A32"/>
    <w:rsid w:val="63FF7D92"/>
    <w:rsid w:val="65DC36B4"/>
    <w:rsid w:val="661436D6"/>
    <w:rsid w:val="67315807"/>
    <w:rsid w:val="684F386F"/>
    <w:rsid w:val="68D432ED"/>
    <w:rsid w:val="6AA4629B"/>
    <w:rsid w:val="6B214B74"/>
    <w:rsid w:val="6F467652"/>
    <w:rsid w:val="6FAD0F69"/>
    <w:rsid w:val="70775AD6"/>
    <w:rsid w:val="70CA5C74"/>
    <w:rsid w:val="717354F2"/>
    <w:rsid w:val="7375738B"/>
    <w:rsid w:val="7493682F"/>
    <w:rsid w:val="76FF49F3"/>
    <w:rsid w:val="77E314F2"/>
    <w:rsid w:val="798B5FC0"/>
    <w:rsid w:val="79B0422A"/>
    <w:rsid w:val="79B77FD1"/>
    <w:rsid w:val="7ABA0A9A"/>
    <w:rsid w:val="7AC6671E"/>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2020-07-18T08:24:48Z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